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A6D" w:rsidRPr="00A64C7B" w:rsidRDefault="00A2298F">
      <w:pPr>
        <w:rPr>
          <w:rFonts w:ascii="Times New Roman" w:hAnsi="Times New Roman" w:cs="Times New Roman"/>
          <w:b/>
          <w:sz w:val="24"/>
          <w:szCs w:val="24"/>
        </w:rPr>
      </w:pPr>
      <w:r w:rsidRPr="00A64C7B">
        <w:rPr>
          <w:rFonts w:ascii="Times New Roman" w:hAnsi="Times New Roman" w:cs="Times New Roman"/>
          <w:b/>
          <w:sz w:val="24"/>
          <w:szCs w:val="24"/>
        </w:rPr>
        <w:t>Introduction</w:t>
      </w:r>
    </w:p>
    <w:p w:rsidR="00B27EB2" w:rsidRPr="002429AA" w:rsidRDefault="001636AA" w:rsidP="00A64C7B">
      <w:pPr>
        <w:spacing w:line="240" w:lineRule="auto"/>
        <w:ind w:firstLine="720"/>
        <w:rPr>
          <w:rFonts w:ascii="Times New Roman" w:hAnsi="Times New Roman" w:cs="Times New Roman"/>
          <w:sz w:val="24"/>
          <w:szCs w:val="24"/>
        </w:rPr>
      </w:pPr>
      <w:r w:rsidRPr="002429AA">
        <w:rPr>
          <w:rFonts w:ascii="Times New Roman" w:hAnsi="Times New Roman" w:cs="Times New Roman"/>
          <w:sz w:val="24"/>
          <w:szCs w:val="24"/>
        </w:rPr>
        <w:t xml:space="preserve">The Coca-Cola </w:t>
      </w:r>
      <w:r w:rsidR="00B27EB2" w:rsidRPr="002429AA">
        <w:rPr>
          <w:rFonts w:ascii="Times New Roman" w:hAnsi="Times New Roman" w:cs="Times New Roman"/>
          <w:sz w:val="24"/>
          <w:szCs w:val="24"/>
        </w:rPr>
        <w:t>Company manufactures</w:t>
      </w:r>
      <w:r w:rsidRPr="002429AA">
        <w:rPr>
          <w:rFonts w:ascii="Times New Roman" w:hAnsi="Times New Roman" w:cs="Times New Roman"/>
          <w:sz w:val="24"/>
          <w:szCs w:val="24"/>
        </w:rPr>
        <w:t>, retails</w:t>
      </w:r>
      <w:r w:rsidR="00B27EB2" w:rsidRPr="002429AA">
        <w:rPr>
          <w:rFonts w:ascii="Times New Roman" w:hAnsi="Times New Roman" w:cs="Times New Roman"/>
          <w:sz w:val="24"/>
          <w:szCs w:val="24"/>
        </w:rPr>
        <w:t>,</w:t>
      </w:r>
      <w:r w:rsidRPr="002429AA">
        <w:rPr>
          <w:rFonts w:ascii="Times New Roman" w:hAnsi="Times New Roman" w:cs="Times New Roman"/>
          <w:sz w:val="24"/>
          <w:szCs w:val="24"/>
        </w:rPr>
        <w:t xml:space="preserve"> and markets the non-alcoholic drink. </w:t>
      </w:r>
      <w:r w:rsidR="00B27EB2" w:rsidRPr="002429AA">
        <w:rPr>
          <w:rFonts w:ascii="Times New Roman" w:hAnsi="Times New Roman" w:cs="Times New Roman"/>
          <w:sz w:val="24"/>
          <w:szCs w:val="24"/>
        </w:rPr>
        <w:t xml:space="preserve">The Coca-Cola Company was incorporated in 1892 although the coca cola beverage was invented in 1886. </w:t>
      </w:r>
      <w:r w:rsidR="00344F31">
        <w:rPr>
          <w:rFonts w:ascii="Times New Roman" w:hAnsi="Times New Roman" w:cs="Times New Roman"/>
          <w:sz w:val="24"/>
          <w:szCs w:val="24"/>
        </w:rPr>
        <w:t xml:space="preserve">Coca-Cola was founded by John Pemberton. Currently, the company employs approximately 16,800 people around the world. </w:t>
      </w:r>
      <w:r w:rsidRPr="002429AA">
        <w:rPr>
          <w:rFonts w:ascii="Times New Roman" w:hAnsi="Times New Roman" w:cs="Times New Roman"/>
          <w:sz w:val="24"/>
          <w:szCs w:val="24"/>
        </w:rPr>
        <w:t>The company operates in a franchise system of distribution all over the world. It is a publicly traded company and its common stock is listed in the NYSE.</w:t>
      </w:r>
      <w:r w:rsidR="00B27EB2" w:rsidRPr="002429AA">
        <w:rPr>
          <w:rFonts w:ascii="Times New Roman" w:hAnsi="Times New Roman" w:cs="Times New Roman"/>
          <w:sz w:val="24"/>
          <w:szCs w:val="24"/>
        </w:rPr>
        <w:t xml:space="preserve"> The company sells an average of 1.9 billion bottles of its beverages in a day. It is currently ranked 87 on the Fortune 500 list for 2018 (Fortune).</w:t>
      </w:r>
      <w:r w:rsidRPr="002429AA">
        <w:rPr>
          <w:rFonts w:ascii="Times New Roman" w:hAnsi="Times New Roman" w:cs="Times New Roman"/>
          <w:sz w:val="24"/>
          <w:szCs w:val="24"/>
        </w:rPr>
        <w:t xml:space="preserve"> The company has survived the test of time by standing through the ups and downs of the economy, the</w:t>
      </w:r>
      <w:r w:rsidR="00853DCB" w:rsidRPr="002429AA">
        <w:rPr>
          <w:rFonts w:ascii="Times New Roman" w:hAnsi="Times New Roman" w:cs="Times New Roman"/>
          <w:sz w:val="24"/>
          <w:szCs w:val="24"/>
        </w:rPr>
        <w:t xml:space="preserve"> dynamism of technology and the ever</w:t>
      </w:r>
      <w:r w:rsidR="00B362E9">
        <w:rPr>
          <w:rFonts w:ascii="Times New Roman" w:hAnsi="Times New Roman" w:cs="Times New Roman"/>
          <w:sz w:val="24"/>
          <w:szCs w:val="24"/>
        </w:rPr>
        <w:t>-</w:t>
      </w:r>
      <w:r w:rsidR="00853DCB" w:rsidRPr="002429AA">
        <w:rPr>
          <w:rFonts w:ascii="Times New Roman" w:hAnsi="Times New Roman" w:cs="Times New Roman"/>
          <w:sz w:val="24"/>
          <w:szCs w:val="24"/>
        </w:rPr>
        <w:t xml:space="preserve">changing customer needs and wants. </w:t>
      </w:r>
      <w:r w:rsidR="00B27EB2" w:rsidRPr="002429AA">
        <w:rPr>
          <w:rFonts w:ascii="Times New Roman" w:hAnsi="Times New Roman" w:cs="Times New Roman"/>
          <w:sz w:val="24"/>
          <w:szCs w:val="24"/>
        </w:rPr>
        <w:t xml:space="preserve">The company has had several acquisitions of new lines in the course of time e.g., Minute Maid, Thumps Up, and Honest Tea. Coca-Cola has its headquarters in Atlanta, Georgia, United States. </w:t>
      </w:r>
      <w:r w:rsidR="00A27DFB">
        <w:rPr>
          <w:rFonts w:ascii="Times New Roman" w:hAnsi="Times New Roman" w:cs="Times New Roman"/>
          <w:sz w:val="24"/>
          <w:szCs w:val="24"/>
        </w:rPr>
        <w:t>The CEO of the company is James Quincey</w:t>
      </w:r>
    </w:p>
    <w:p w:rsidR="00A64C7B" w:rsidRPr="00A64C7B" w:rsidRDefault="00A64C7B" w:rsidP="00A64C7B">
      <w:pPr>
        <w:spacing w:line="240" w:lineRule="auto"/>
        <w:rPr>
          <w:rFonts w:ascii="Times New Roman" w:hAnsi="Times New Roman" w:cs="Times New Roman"/>
          <w:b/>
          <w:sz w:val="24"/>
          <w:szCs w:val="24"/>
        </w:rPr>
      </w:pPr>
      <w:r w:rsidRPr="00A64C7B">
        <w:rPr>
          <w:rFonts w:ascii="Times New Roman" w:hAnsi="Times New Roman" w:cs="Times New Roman"/>
          <w:b/>
          <w:sz w:val="24"/>
          <w:szCs w:val="24"/>
        </w:rPr>
        <w:t>Financial ratios</w:t>
      </w:r>
    </w:p>
    <w:p w:rsidR="00A64C7B" w:rsidRDefault="00A64C7B" w:rsidP="00A64C7B">
      <w:pPr>
        <w:spacing w:line="240" w:lineRule="auto"/>
        <w:ind w:firstLine="720"/>
        <w:rPr>
          <w:rFonts w:ascii="Times New Roman" w:hAnsi="Times New Roman" w:cs="Times New Roman"/>
          <w:sz w:val="24"/>
          <w:szCs w:val="24"/>
        </w:rPr>
      </w:pPr>
      <w:r w:rsidRPr="00A64C7B">
        <w:rPr>
          <w:rFonts w:ascii="Times New Roman" w:hAnsi="Times New Roman" w:cs="Times New Roman"/>
          <w:sz w:val="24"/>
          <w:szCs w:val="24"/>
        </w:rPr>
        <w:t xml:space="preserve">Financial ratios are used to evaluate the conditions of the company in terms of liquidity, efficiency, profitability, and solvency. </w:t>
      </w:r>
      <w:r w:rsidR="00F22F04">
        <w:rPr>
          <w:rFonts w:ascii="Times New Roman" w:hAnsi="Times New Roman" w:cs="Times New Roman"/>
          <w:sz w:val="24"/>
          <w:szCs w:val="24"/>
        </w:rPr>
        <w:t>According to Bragg, S. (2018), t</w:t>
      </w:r>
      <w:r w:rsidRPr="00A64C7B">
        <w:rPr>
          <w:rFonts w:ascii="Times New Roman" w:hAnsi="Times New Roman" w:cs="Times New Roman"/>
          <w:sz w:val="24"/>
          <w:szCs w:val="24"/>
        </w:rPr>
        <w:t>he financial ratios seek to identify the strengths and weaknesses of the company. The gross profit margin and the net profit margin are profitability ratios that seek to show how profitable the company sales are. The gross profit margin shows how much of each revenue dollar is left after paying for the cost of goods sold. It is realized by dividing gross profit by revenue/sales. The Coca-Cola Company realized a gross profit of 62.6% in 2017 which was an increase from 60.7% in 2016. As such, the Coca-Cola Comp</w:t>
      </w:r>
      <w:bookmarkStart w:id="0" w:name="_GoBack"/>
      <w:bookmarkEnd w:id="0"/>
      <w:r w:rsidRPr="00A64C7B">
        <w:rPr>
          <w:rFonts w:ascii="Times New Roman" w:hAnsi="Times New Roman" w:cs="Times New Roman"/>
          <w:sz w:val="24"/>
          <w:szCs w:val="24"/>
        </w:rPr>
        <w:t>any’s sales are increasingly profitable year after the other. Net profit margin measures the profits of the company after all expenses are deducted from the company’s revenue. In 2017, Coca-Cola realized a net profit margin of 3.6% which was a decrease from 15.6% in2016.</w:t>
      </w:r>
    </w:p>
    <w:p w:rsidR="00F44DCB" w:rsidRPr="00A64C7B" w:rsidRDefault="00B27EB2" w:rsidP="001636AA">
      <w:pPr>
        <w:spacing w:line="240" w:lineRule="auto"/>
        <w:rPr>
          <w:rFonts w:ascii="Times New Roman" w:hAnsi="Times New Roman" w:cs="Times New Roman"/>
          <w:b/>
          <w:sz w:val="24"/>
          <w:szCs w:val="24"/>
        </w:rPr>
      </w:pPr>
      <w:r w:rsidRPr="00A64C7B">
        <w:rPr>
          <w:rFonts w:ascii="Times New Roman" w:hAnsi="Times New Roman" w:cs="Times New Roman"/>
          <w:b/>
          <w:sz w:val="24"/>
          <w:szCs w:val="24"/>
        </w:rPr>
        <w:t>Investments</w:t>
      </w:r>
    </w:p>
    <w:p w:rsidR="00614C51" w:rsidRPr="002429AA" w:rsidRDefault="009821DB" w:rsidP="00A64C7B">
      <w:pPr>
        <w:spacing w:line="240" w:lineRule="auto"/>
        <w:ind w:firstLine="720"/>
        <w:rPr>
          <w:rFonts w:ascii="Times New Roman" w:hAnsi="Times New Roman" w:cs="Times New Roman"/>
          <w:sz w:val="24"/>
          <w:szCs w:val="24"/>
        </w:rPr>
      </w:pPr>
      <w:r w:rsidRPr="002429AA">
        <w:rPr>
          <w:rFonts w:ascii="Times New Roman" w:hAnsi="Times New Roman" w:cs="Times New Roman"/>
          <w:sz w:val="24"/>
          <w:szCs w:val="24"/>
        </w:rPr>
        <w:t xml:space="preserve">The Coca-Cola Company </w:t>
      </w:r>
      <w:r w:rsidR="00F44DCB" w:rsidRPr="002429AA">
        <w:rPr>
          <w:rFonts w:ascii="Times New Roman" w:hAnsi="Times New Roman" w:cs="Times New Roman"/>
          <w:sz w:val="24"/>
          <w:szCs w:val="24"/>
        </w:rPr>
        <w:t xml:space="preserve">investments in debt and securities are categorized into trading, available-for-sale or held-to-maturity. Marketable equity investments are either trading or available for sale while debt securities are amortized at cost or at fair value. </w:t>
      </w:r>
      <w:r w:rsidR="00F60CA0" w:rsidRPr="002429AA">
        <w:rPr>
          <w:rFonts w:ascii="Times New Roman" w:hAnsi="Times New Roman" w:cs="Times New Roman"/>
          <w:sz w:val="24"/>
          <w:szCs w:val="24"/>
        </w:rPr>
        <w:t>The</w:t>
      </w:r>
      <w:r w:rsidRPr="002429AA">
        <w:rPr>
          <w:rFonts w:ascii="Times New Roman" w:hAnsi="Times New Roman" w:cs="Times New Roman"/>
          <w:sz w:val="24"/>
          <w:szCs w:val="24"/>
        </w:rPr>
        <w:t xml:space="preserve"> Compa</w:t>
      </w:r>
      <w:r w:rsidR="00F60CA0" w:rsidRPr="002429AA">
        <w:rPr>
          <w:rFonts w:ascii="Times New Roman" w:hAnsi="Times New Roman" w:cs="Times New Roman"/>
          <w:sz w:val="24"/>
          <w:szCs w:val="24"/>
        </w:rPr>
        <w:t>ny</w:t>
      </w:r>
      <w:r w:rsidRPr="002429AA">
        <w:rPr>
          <w:rFonts w:ascii="Times New Roman" w:hAnsi="Times New Roman" w:cs="Times New Roman"/>
          <w:sz w:val="24"/>
          <w:szCs w:val="24"/>
        </w:rPr>
        <w:t xml:space="preserve"> invested in trade securities which comprised primarily of equity securities with a fair value </w:t>
      </w:r>
      <w:r w:rsidR="00B362E9">
        <w:rPr>
          <w:rFonts w:ascii="Times New Roman" w:hAnsi="Times New Roman" w:cs="Times New Roman"/>
          <w:sz w:val="24"/>
          <w:szCs w:val="24"/>
        </w:rPr>
        <w:t xml:space="preserve">of </w:t>
      </w:r>
      <w:r w:rsidRPr="002429AA">
        <w:rPr>
          <w:rFonts w:ascii="Times New Roman" w:hAnsi="Times New Roman" w:cs="Times New Roman"/>
          <w:sz w:val="24"/>
          <w:szCs w:val="24"/>
        </w:rPr>
        <w:t>$407 million in 2017 and $384 in 20</w:t>
      </w:r>
      <w:r w:rsidR="00F44DCB" w:rsidRPr="002429AA">
        <w:rPr>
          <w:rFonts w:ascii="Times New Roman" w:hAnsi="Times New Roman" w:cs="Times New Roman"/>
          <w:sz w:val="24"/>
          <w:szCs w:val="24"/>
        </w:rPr>
        <w:t>16</w:t>
      </w:r>
      <w:r w:rsidRPr="002429AA">
        <w:rPr>
          <w:rFonts w:ascii="Times New Roman" w:hAnsi="Times New Roman" w:cs="Times New Roman"/>
          <w:sz w:val="24"/>
          <w:szCs w:val="24"/>
        </w:rPr>
        <w:t>. It increased its investment in trade securities</w:t>
      </w:r>
      <w:r w:rsidR="00F44DCB" w:rsidRPr="002429AA">
        <w:rPr>
          <w:rFonts w:ascii="Times New Roman" w:hAnsi="Times New Roman" w:cs="Times New Roman"/>
          <w:sz w:val="24"/>
          <w:szCs w:val="24"/>
        </w:rPr>
        <w:t xml:space="preserve"> in 2017 as compared to 2016. The company did not invest in any held to maturity securities in 2017. In 2017</w:t>
      </w:r>
      <w:r w:rsidRPr="002429AA">
        <w:rPr>
          <w:rFonts w:ascii="Times New Roman" w:hAnsi="Times New Roman" w:cs="Times New Roman"/>
          <w:sz w:val="24"/>
          <w:szCs w:val="24"/>
        </w:rPr>
        <w:t xml:space="preserve"> </w:t>
      </w:r>
      <w:r w:rsidR="00F44DCB" w:rsidRPr="002429AA">
        <w:rPr>
          <w:rFonts w:ascii="Times New Roman" w:hAnsi="Times New Roman" w:cs="Times New Roman"/>
          <w:sz w:val="24"/>
          <w:szCs w:val="24"/>
        </w:rPr>
        <w:t>the company had available-for-sale investments worth $7807 million.</w:t>
      </w:r>
    </w:p>
    <w:p w:rsidR="000C69BE" w:rsidRPr="00A64C7B" w:rsidRDefault="000C69BE" w:rsidP="001636AA">
      <w:pPr>
        <w:spacing w:line="240" w:lineRule="auto"/>
        <w:rPr>
          <w:rFonts w:ascii="Times New Roman" w:hAnsi="Times New Roman" w:cs="Times New Roman"/>
          <w:b/>
          <w:sz w:val="24"/>
          <w:szCs w:val="24"/>
        </w:rPr>
      </w:pPr>
      <w:r w:rsidRPr="00A64C7B">
        <w:rPr>
          <w:rFonts w:ascii="Times New Roman" w:hAnsi="Times New Roman" w:cs="Times New Roman"/>
          <w:b/>
          <w:sz w:val="24"/>
          <w:szCs w:val="24"/>
        </w:rPr>
        <w:t>Income Taxes</w:t>
      </w:r>
    </w:p>
    <w:p w:rsidR="00A2298F" w:rsidRPr="002429AA" w:rsidRDefault="000C69BE" w:rsidP="00A64C7B">
      <w:pPr>
        <w:spacing w:line="240" w:lineRule="auto"/>
        <w:ind w:firstLine="720"/>
        <w:rPr>
          <w:rFonts w:ascii="Times New Roman" w:hAnsi="Times New Roman" w:cs="Times New Roman"/>
          <w:sz w:val="24"/>
          <w:szCs w:val="24"/>
        </w:rPr>
      </w:pPr>
      <w:r w:rsidRPr="002429AA">
        <w:rPr>
          <w:rFonts w:ascii="Times New Roman" w:hAnsi="Times New Roman" w:cs="Times New Roman"/>
          <w:sz w:val="24"/>
          <w:szCs w:val="24"/>
        </w:rPr>
        <w:t xml:space="preserve">The company made income tax payments of $1904 million in 2017 which was an increase from $1554 million paid in 2016. The United States statutory tax rate is 35.0%. The effective tax rate </w:t>
      </w:r>
      <w:r w:rsidR="00344F31">
        <w:rPr>
          <w:rFonts w:ascii="Times New Roman" w:hAnsi="Times New Roman" w:cs="Times New Roman"/>
          <w:sz w:val="24"/>
          <w:szCs w:val="24"/>
        </w:rPr>
        <w:t xml:space="preserve">of 85% in 2017 </w:t>
      </w:r>
      <w:r w:rsidRPr="002429AA">
        <w:rPr>
          <w:rFonts w:ascii="Times New Roman" w:hAnsi="Times New Roman" w:cs="Times New Roman"/>
          <w:sz w:val="24"/>
          <w:szCs w:val="24"/>
        </w:rPr>
        <w:t>of the company is a reflection of the tax be</w:t>
      </w:r>
      <w:r w:rsidR="00B362E9">
        <w:rPr>
          <w:rFonts w:ascii="Times New Roman" w:hAnsi="Times New Roman" w:cs="Times New Roman"/>
          <w:sz w:val="24"/>
          <w:szCs w:val="24"/>
        </w:rPr>
        <w:t>nefits that the company gets from</w:t>
      </w:r>
      <w:r w:rsidRPr="002429AA">
        <w:rPr>
          <w:rFonts w:ascii="Times New Roman" w:hAnsi="Times New Roman" w:cs="Times New Roman"/>
          <w:sz w:val="24"/>
          <w:szCs w:val="24"/>
        </w:rPr>
        <w:t xml:space="preserve"> having significant operations outside the United States. The company also enjoys income tax incentive grants due to the capital investments and the employment actions it makes in countries such as Brazil, Swaziland, and Singapore. The tax incentive grants provided by certain tax jurisdictions had an impact on the tax expense paid in 2017 by $221 million.</w:t>
      </w:r>
      <w:r w:rsidR="00A2298F" w:rsidRPr="002429AA">
        <w:rPr>
          <w:rFonts w:ascii="Times New Roman" w:hAnsi="Times New Roman" w:cs="Times New Roman"/>
          <w:sz w:val="24"/>
          <w:szCs w:val="24"/>
        </w:rPr>
        <w:t xml:space="preserve"> The benefit of having significant earnings generated in investments and accounting for them under the equity method of accounting, which are taxed at a lower rate than the U.S. statutory rate is </w:t>
      </w:r>
      <w:r w:rsidR="00A2298F" w:rsidRPr="002429AA">
        <w:rPr>
          <w:rFonts w:ascii="Times New Roman" w:hAnsi="Times New Roman" w:cs="Times New Roman"/>
          <w:sz w:val="24"/>
          <w:szCs w:val="24"/>
        </w:rPr>
        <w:lastRenderedPageBreak/>
        <w:t xml:space="preserve">also reflected in the effective tax rate. </w:t>
      </w:r>
      <w:r w:rsidR="00344F31">
        <w:rPr>
          <w:rFonts w:ascii="Times New Roman" w:hAnsi="Times New Roman" w:cs="Times New Roman"/>
          <w:sz w:val="24"/>
          <w:szCs w:val="24"/>
        </w:rPr>
        <w:t>The income tax expense of the company</w:t>
      </w:r>
      <w:r w:rsidR="0008138C">
        <w:rPr>
          <w:rFonts w:ascii="Times New Roman" w:hAnsi="Times New Roman" w:cs="Times New Roman"/>
          <w:sz w:val="24"/>
          <w:szCs w:val="24"/>
        </w:rPr>
        <w:t xml:space="preserve"> comprises of the United States statutory tax, local, state and international income taxes. </w:t>
      </w:r>
    </w:p>
    <w:p w:rsidR="00A2298F" w:rsidRPr="00A64C7B" w:rsidRDefault="00140AAF" w:rsidP="001636AA">
      <w:pPr>
        <w:spacing w:line="240" w:lineRule="auto"/>
        <w:rPr>
          <w:rFonts w:ascii="Times New Roman" w:hAnsi="Times New Roman" w:cs="Times New Roman"/>
          <w:b/>
          <w:sz w:val="24"/>
          <w:szCs w:val="24"/>
        </w:rPr>
      </w:pPr>
      <w:r w:rsidRPr="00A64C7B">
        <w:rPr>
          <w:rFonts w:ascii="Times New Roman" w:hAnsi="Times New Roman" w:cs="Times New Roman"/>
          <w:b/>
          <w:sz w:val="24"/>
          <w:szCs w:val="24"/>
        </w:rPr>
        <w:t>Cash flow</w:t>
      </w:r>
    </w:p>
    <w:p w:rsidR="00171A25" w:rsidRPr="002429AA" w:rsidRDefault="00171A25" w:rsidP="00A64C7B">
      <w:pPr>
        <w:spacing w:line="240" w:lineRule="auto"/>
        <w:ind w:firstLine="720"/>
        <w:rPr>
          <w:rFonts w:ascii="Times New Roman" w:hAnsi="Times New Roman" w:cs="Times New Roman"/>
          <w:sz w:val="24"/>
          <w:szCs w:val="24"/>
        </w:rPr>
      </w:pPr>
      <w:r w:rsidRPr="002429AA">
        <w:rPr>
          <w:rFonts w:ascii="Times New Roman" w:hAnsi="Times New Roman" w:cs="Times New Roman"/>
          <w:sz w:val="24"/>
          <w:szCs w:val="24"/>
        </w:rPr>
        <w:t xml:space="preserve">Cash flow refers to the amounts of cash that the company receives and disburses in a certain period of time such as a month, quarter, </w:t>
      </w:r>
      <w:r w:rsidR="00140AAF" w:rsidRPr="002429AA">
        <w:rPr>
          <w:rFonts w:ascii="Times New Roman" w:hAnsi="Times New Roman" w:cs="Times New Roman"/>
          <w:sz w:val="24"/>
          <w:szCs w:val="24"/>
        </w:rPr>
        <w:t xml:space="preserve">or </w:t>
      </w:r>
      <w:r w:rsidRPr="002429AA">
        <w:rPr>
          <w:rFonts w:ascii="Times New Roman" w:hAnsi="Times New Roman" w:cs="Times New Roman"/>
          <w:sz w:val="24"/>
          <w:szCs w:val="24"/>
        </w:rPr>
        <w:t>a year</w:t>
      </w:r>
      <w:r w:rsidR="00140AAF" w:rsidRPr="002429AA">
        <w:rPr>
          <w:rFonts w:ascii="Times New Roman" w:hAnsi="Times New Roman" w:cs="Times New Roman"/>
          <w:sz w:val="24"/>
          <w:szCs w:val="24"/>
        </w:rPr>
        <w:t xml:space="preserve">. The cash inflows and outflows come from operating activities, investing activities and financing activities. </w:t>
      </w:r>
      <w:r w:rsidR="00F22F04">
        <w:rPr>
          <w:rFonts w:ascii="Times New Roman" w:hAnsi="Times New Roman" w:cs="Times New Roman"/>
          <w:sz w:val="24"/>
          <w:szCs w:val="24"/>
        </w:rPr>
        <w:t>According to Accounting Tools (2018), p</w:t>
      </w:r>
      <w:r w:rsidR="00140AAF" w:rsidRPr="002429AA">
        <w:rPr>
          <w:rFonts w:ascii="Times New Roman" w:hAnsi="Times New Roman" w:cs="Times New Roman"/>
          <w:sz w:val="24"/>
          <w:szCs w:val="24"/>
        </w:rPr>
        <w:t xml:space="preserve">ositive </w:t>
      </w:r>
      <w:r w:rsidR="00F22F04">
        <w:rPr>
          <w:rFonts w:ascii="Times New Roman" w:hAnsi="Times New Roman" w:cs="Times New Roman"/>
          <w:sz w:val="24"/>
          <w:szCs w:val="24"/>
        </w:rPr>
        <w:t>cash flows are essential for a</w:t>
      </w:r>
      <w:r w:rsidR="00140AAF" w:rsidRPr="002429AA">
        <w:rPr>
          <w:rFonts w:ascii="Times New Roman" w:hAnsi="Times New Roman" w:cs="Times New Roman"/>
          <w:sz w:val="24"/>
          <w:szCs w:val="24"/>
        </w:rPr>
        <w:t xml:space="preserve"> company to remain in business. In 2017, the Coca-Co</w:t>
      </w:r>
      <w:r w:rsidR="00734ED1" w:rsidRPr="002429AA">
        <w:rPr>
          <w:rFonts w:ascii="Times New Roman" w:hAnsi="Times New Roman" w:cs="Times New Roman"/>
          <w:sz w:val="24"/>
          <w:szCs w:val="24"/>
        </w:rPr>
        <w:t>la Co</w:t>
      </w:r>
      <w:r w:rsidR="00A64C7B">
        <w:rPr>
          <w:rFonts w:ascii="Times New Roman" w:hAnsi="Times New Roman" w:cs="Times New Roman"/>
          <w:sz w:val="24"/>
          <w:szCs w:val="24"/>
        </w:rPr>
        <w:t xml:space="preserve">mpany recorded a net cash flow </w:t>
      </w:r>
      <w:r w:rsidR="00140AAF" w:rsidRPr="002429AA">
        <w:rPr>
          <w:rFonts w:ascii="Times New Roman" w:hAnsi="Times New Roman" w:cs="Times New Roman"/>
          <w:sz w:val="24"/>
          <w:szCs w:val="24"/>
        </w:rPr>
        <w:t>of</w:t>
      </w:r>
      <w:r w:rsidR="00A64C7B">
        <w:rPr>
          <w:rFonts w:ascii="Times New Roman" w:hAnsi="Times New Roman" w:cs="Times New Roman"/>
          <w:sz w:val="24"/>
          <w:szCs w:val="24"/>
        </w:rPr>
        <w:t xml:space="preserve"> </w:t>
      </w:r>
      <w:r w:rsidR="00140AAF" w:rsidRPr="002429AA">
        <w:rPr>
          <w:rFonts w:ascii="Times New Roman" w:hAnsi="Times New Roman" w:cs="Times New Roman"/>
          <w:sz w:val="24"/>
          <w:szCs w:val="24"/>
        </w:rPr>
        <w:t>$ 6,995 million from operating activities, -2385 million dollars in investing activities and -7409 million dollars in financing activities. The cash</w:t>
      </w:r>
      <w:r w:rsidR="00734ED1" w:rsidRPr="002429AA">
        <w:rPr>
          <w:rFonts w:ascii="Times New Roman" w:hAnsi="Times New Roman" w:cs="Times New Roman"/>
          <w:sz w:val="24"/>
          <w:szCs w:val="24"/>
        </w:rPr>
        <w:t xml:space="preserve"> </w:t>
      </w:r>
      <w:r w:rsidR="00A64C7B">
        <w:rPr>
          <w:rFonts w:ascii="Times New Roman" w:hAnsi="Times New Roman" w:cs="Times New Roman"/>
          <w:sz w:val="24"/>
          <w:szCs w:val="24"/>
        </w:rPr>
        <w:t>flow balance at year-</w:t>
      </w:r>
      <w:r w:rsidR="00140AAF" w:rsidRPr="002429AA">
        <w:rPr>
          <w:rFonts w:ascii="Times New Roman" w:hAnsi="Times New Roman" w:cs="Times New Roman"/>
          <w:sz w:val="24"/>
          <w:szCs w:val="24"/>
        </w:rPr>
        <w:t xml:space="preserve">end in 2017 was </w:t>
      </w:r>
      <w:r w:rsidR="00734ED1" w:rsidRPr="002429AA">
        <w:rPr>
          <w:rFonts w:ascii="Times New Roman" w:hAnsi="Times New Roman" w:cs="Times New Roman"/>
          <w:sz w:val="24"/>
          <w:szCs w:val="24"/>
        </w:rPr>
        <w:t xml:space="preserve">$ </w:t>
      </w:r>
      <w:r w:rsidR="00140AAF" w:rsidRPr="002429AA">
        <w:rPr>
          <w:rFonts w:ascii="Times New Roman" w:hAnsi="Times New Roman" w:cs="Times New Roman"/>
          <w:sz w:val="24"/>
          <w:szCs w:val="24"/>
        </w:rPr>
        <w:t>6,006</w:t>
      </w:r>
      <w:r w:rsidR="00734ED1" w:rsidRPr="002429AA">
        <w:rPr>
          <w:rFonts w:ascii="Times New Roman" w:hAnsi="Times New Roman" w:cs="Times New Roman"/>
          <w:sz w:val="24"/>
          <w:szCs w:val="24"/>
        </w:rPr>
        <w:t xml:space="preserve"> million dollars which was a decrease from $8,555 in 2016. Under the operating activities</w:t>
      </w:r>
      <w:r w:rsidR="00A64C7B">
        <w:rPr>
          <w:rFonts w:ascii="Times New Roman" w:hAnsi="Times New Roman" w:cs="Times New Roman"/>
          <w:sz w:val="24"/>
          <w:szCs w:val="24"/>
        </w:rPr>
        <w:t>,</w:t>
      </w:r>
      <w:r w:rsidR="00734ED1" w:rsidRPr="002429AA">
        <w:rPr>
          <w:rFonts w:ascii="Times New Roman" w:hAnsi="Times New Roman" w:cs="Times New Roman"/>
          <w:sz w:val="24"/>
          <w:szCs w:val="24"/>
        </w:rPr>
        <w:t xml:space="preserve"> $ 2,157 million was from other operating charges. The other operating charges comprised of $737 million of CCR asset impairment and $650 from the Company’s productivity and reinvestment program, bottling operations re</w:t>
      </w:r>
      <w:r w:rsidR="00A64C7B">
        <w:rPr>
          <w:rFonts w:ascii="Times New Roman" w:hAnsi="Times New Roman" w:cs="Times New Roman"/>
          <w:sz w:val="24"/>
          <w:szCs w:val="24"/>
        </w:rPr>
        <w:t>-</w:t>
      </w:r>
      <w:r w:rsidR="00734ED1" w:rsidRPr="002429AA">
        <w:rPr>
          <w:rFonts w:ascii="Times New Roman" w:hAnsi="Times New Roman" w:cs="Times New Roman"/>
          <w:sz w:val="24"/>
          <w:szCs w:val="24"/>
        </w:rPr>
        <w:t xml:space="preserve">franchise costs at $419, contributions to The Coca-Cola Foundation, tax litigation expense, and costs related to the impairment of intangible assets. </w:t>
      </w:r>
      <w:r w:rsidR="002429AA" w:rsidRPr="002429AA">
        <w:rPr>
          <w:rFonts w:ascii="Times New Roman" w:hAnsi="Times New Roman" w:cs="Times New Roman"/>
          <w:sz w:val="24"/>
          <w:szCs w:val="24"/>
        </w:rPr>
        <w:t>Other operating charges from 2017 were higher than those recorded in 2016.</w:t>
      </w:r>
      <w:r w:rsidR="0021102F">
        <w:rPr>
          <w:rFonts w:ascii="Times New Roman" w:hAnsi="Times New Roman" w:cs="Times New Roman"/>
          <w:sz w:val="24"/>
          <w:szCs w:val="24"/>
        </w:rPr>
        <w:t xml:space="preserve"> The Company’s financing activities for the year included the sale of issuance of debt, payment of debt, issuance of stock, purchase of stock for treasury and the payment of dividends. The investing activities of the company included the purchase and disposal of investments, acquisition and disposal of </w:t>
      </w:r>
      <w:r w:rsidR="0021102F" w:rsidRPr="0021102F">
        <w:rPr>
          <w:rFonts w:ascii="Times New Roman" w:hAnsi="Times New Roman" w:cs="Times New Roman"/>
          <w:sz w:val="24"/>
          <w:szCs w:val="24"/>
        </w:rPr>
        <w:t>businesses, equity method investments and nonmarketable securities</w:t>
      </w:r>
      <w:r w:rsidR="0021102F">
        <w:rPr>
          <w:rFonts w:ascii="Times New Roman" w:hAnsi="Times New Roman" w:cs="Times New Roman"/>
          <w:sz w:val="24"/>
          <w:szCs w:val="24"/>
        </w:rPr>
        <w:t>, and the purchase and disposal of plant, property</w:t>
      </w:r>
      <w:r w:rsidR="00A64C7B">
        <w:rPr>
          <w:rFonts w:ascii="Times New Roman" w:hAnsi="Times New Roman" w:cs="Times New Roman"/>
          <w:sz w:val="24"/>
          <w:szCs w:val="24"/>
        </w:rPr>
        <w:t>,</w:t>
      </w:r>
      <w:r w:rsidR="0021102F">
        <w:rPr>
          <w:rFonts w:ascii="Times New Roman" w:hAnsi="Times New Roman" w:cs="Times New Roman"/>
          <w:sz w:val="24"/>
          <w:szCs w:val="24"/>
        </w:rPr>
        <w:t xml:space="preserve"> and equipment. The Company also realized and used cash in discontinued operations thus increasing cash flows by $8 million.</w:t>
      </w:r>
      <w:r w:rsidR="00BB250C">
        <w:rPr>
          <w:rFonts w:ascii="Times New Roman" w:hAnsi="Times New Roman" w:cs="Times New Roman"/>
          <w:sz w:val="24"/>
          <w:szCs w:val="24"/>
        </w:rPr>
        <w:t xml:space="preserve"> Coca-Cola employs a </w:t>
      </w:r>
      <w:r w:rsidR="00DD2CF4">
        <w:rPr>
          <w:rFonts w:ascii="Times New Roman" w:hAnsi="Times New Roman" w:cs="Times New Roman"/>
          <w:sz w:val="24"/>
          <w:szCs w:val="24"/>
        </w:rPr>
        <w:t xml:space="preserve">cash flow hedging strategy to minimize the effects of fluctuating foreign currency on assets and liabilities. The company enters into forward contracts and purchases foreign currency options to reduce the effects of the foreign currency fluctuations. </w:t>
      </w:r>
    </w:p>
    <w:p w:rsidR="00A27DFB" w:rsidRPr="00A64C7B" w:rsidRDefault="00A27DFB" w:rsidP="001636AA">
      <w:pPr>
        <w:spacing w:line="240" w:lineRule="auto"/>
        <w:rPr>
          <w:rFonts w:ascii="Times New Roman" w:hAnsi="Times New Roman" w:cs="Times New Roman"/>
          <w:b/>
          <w:sz w:val="24"/>
          <w:szCs w:val="24"/>
        </w:rPr>
      </w:pPr>
      <w:r w:rsidRPr="00A64C7B">
        <w:rPr>
          <w:rFonts w:ascii="Times New Roman" w:hAnsi="Times New Roman" w:cs="Times New Roman"/>
          <w:b/>
          <w:sz w:val="24"/>
          <w:szCs w:val="24"/>
        </w:rPr>
        <w:t>Acquisitions</w:t>
      </w:r>
    </w:p>
    <w:p w:rsidR="00A27DFB" w:rsidRDefault="00A27DFB" w:rsidP="00A64C7B">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Coca-Cola Company made acquisitions worth $3,900 million in 2017. The acquisitions included 54.5% controlling interest of CCBA into the company, refranchising of Coca-Cola refreshments and the transfer of $125 million to Monster Beverage Corporation to complete acquisition arrangements made in 2015.</w:t>
      </w:r>
    </w:p>
    <w:p w:rsidR="00A64C7B" w:rsidRPr="00A64C7B" w:rsidRDefault="00A64C7B" w:rsidP="001636AA">
      <w:pPr>
        <w:spacing w:line="240" w:lineRule="auto"/>
        <w:rPr>
          <w:rFonts w:ascii="Times New Roman" w:hAnsi="Times New Roman" w:cs="Times New Roman"/>
          <w:b/>
          <w:sz w:val="24"/>
          <w:szCs w:val="24"/>
        </w:rPr>
      </w:pPr>
      <w:r w:rsidRPr="00A64C7B">
        <w:rPr>
          <w:rFonts w:ascii="Times New Roman" w:hAnsi="Times New Roman" w:cs="Times New Roman"/>
          <w:b/>
          <w:sz w:val="24"/>
          <w:szCs w:val="24"/>
        </w:rPr>
        <w:t>Conclusion</w:t>
      </w:r>
    </w:p>
    <w:p w:rsidR="00C81824" w:rsidRDefault="00C44322" w:rsidP="00A64C7B">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conclusion, the Coca-Cola</w:t>
      </w:r>
      <w:r w:rsidR="00F32211">
        <w:rPr>
          <w:rFonts w:ascii="Times New Roman" w:hAnsi="Times New Roman" w:cs="Times New Roman"/>
          <w:sz w:val="24"/>
          <w:szCs w:val="24"/>
        </w:rPr>
        <w:t xml:space="preserve"> Company continues to evolve thro</w:t>
      </w:r>
      <w:r w:rsidR="00973426">
        <w:rPr>
          <w:rFonts w:ascii="Times New Roman" w:hAnsi="Times New Roman" w:cs="Times New Roman"/>
          <w:sz w:val="24"/>
          <w:szCs w:val="24"/>
        </w:rPr>
        <w:t>ugh the dynamism of the economy</w:t>
      </w:r>
      <w:r w:rsidR="00F32211">
        <w:rPr>
          <w:rFonts w:ascii="Times New Roman" w:hAnsi="Times New Roman" w:cs="Times New Roman"/>
          <w:sz w:val="24"/>
          <w:szCs w:val="24"/>
        </w:rPr>
        <w:t>, technology</w:t>
      </w:r>
      <w:r w:rsidR="00A64C7B">
        <w:rPr>
          <w:rFonts w:ascii="Times New Roman" w:hAnsi="Times New Roman" w:cs="Times New Roman"/>
          <w:sz w:val="24"/>
          <w:szCs w:val="24"/>
        </w:rPr>
        <w:t>,</w:t>
      </w:r>
      <w:r w:rsidR="00F32211">
        <w:rPr>
          <w:rFonts w:ascii="Times New Roman" w:hAnsi="Times New Roman" w:cs="Times New Roman"/>
          <w:sz w:val="24"/>
          <w:szCs w:val="24"/>
        </w:rPr>
        <w:t xml:space="preserve"> and consumer needs.</w:t>
      </w:r>
      <w:r w:rsidR="00344F31">
        <w:rPr>
          <w:rFonts w:ascii="Times New Roman" w:hAnsi="Times New Roman" w:cs="Times New Roman"/>
          <w:sz w:val="24"/>
          <w:szCs w:val="24"/>
        </w:rPr>
        <w:t xml:space="preserve"> Coca-Cola has acquired several beverage companies s</w:t>
      </w:r>
      <w:r w:rsidR="00A64C7B">
        <w:rPr>
          <w:rFonts w:ascii="Times New Roman" w:hAnsi="Times New Roman" w:cs="Times New Roman"/>
          <w:sz w:val="24"/>
          <w:szCs w:val="24"/>
        </w:rPr>
        <w:t>uch as Minute Maid and Monster B</w:t>
      </w:r>
      <w:r w:rsidR="00344F31">
        <w:rPr>
          <w:rFonts w:ascii="Times New Roman" w:hAnsi="Times New Roman" w:cs="Times New Roman"/>
          <w:sz w:val="24"/>
          <w:szCs w:val="24"/>
        </w:rPr>
        <w:t xml:space="preserve">everage. </w:t>
      </w:r>
      <w:r w:rsidR="00F32211">
        <w:rPr>
          <w:rFonts w:ascii="Times New Roman" w:hAnsi="Times New Roman" w:cs="Times New Roman"/>
          <w:sz w:val="24"/>
          <w:szCs w:val="24"/>
        </w:rPr>
        <w:t xml:space="preserve"> </w:t>
      </w:r>
      <w:r w:rsidR="00973426">
        <w:rPr>
          <w:rFonts w:ascii="Times New Roman" w:hAnsi="Times New Roman" w:cs="Times New Roman"/>
          <w:sz w:val="24"/>
          <w:szCs w:val="24"/>
        </w:rPr>
        <w:t xml:space="preserve">Its common stock in the Stock Exchange </w:t>
      </w:r>
      <w:r w:rsidR="00344F31">
        <w:rPr>
          <w:rFonts w:ascii="Times New Roman" w:hAnsi="Times New Roman" w:cs="Times New Roman"/>
          <w:sz w:val="24"/>
          <w:szCs w:val="24"/>
        </w:rPr>
        <w:t>grows time after time and the company continues to expand into different parts of the world</w:t>
      </w:r>
      <w:r w:rsidR="00973426">
        <w:rPr>
          <w:rFonts w:ascii="Times New Roman" w:hAnsi="Times New Roman" w:cs="Times New Roman"/>
          <w:sz w:val="24"/>
          <w:szCs w:val="24"/>
        </w:rPr>
        <w:t xml:space="preserve">. The financial ratios of the company show increasing profitability from the company’s sales. The Company’s cash flows </w:t>
      </w:r>
      <w:r w:rsidR="0021102F">
        <w:rPr>
          <w:rFonts w:ascii="Times New Roman" w:hAnsi="Times New Roman" w:cs="Times New Roman"/>
          <w:sz w:val="24"/>
          <w:szCs w:val="24"/>
        </w:rPr>
        <w:t xml:space="preserve">from operating activities, investing activities, and financing activities </w:t>
      </w:r>
      <w:r w:rsidR="00973426">
        <w:rPr>
          <w:rFonts w:ascii="Times New Roman" w:hAnsi="Times New Roman" w:cs="Times New Roman"/>
          <w:sz w:val="24"/>
          <w:szCs w:val="24"/>
        </w:rPr>
        <w:t>provide the company with cash to run its operations smoothly without running out of liquid cash.</w:t>
      </w:r>
      <w:r w:rsidR="0021102F">
        <w:rPr>
          <w:rFonts w:ascii="Times New Roman" w:hAnsi="Times New Roman" w:cs="Times New Roman"/>
          <w:sz w:val="24"/>
          <w:szCs w:val="24"/>
        </w:rPr>
        <w:t xml:space="preserve"> </w:t>
      </w:r>
      <w:r w:rsidR="00DD2CF4">
        <w:rPr>
          <w:rFonts w:ascii="Times New Roman" w:hAnsi="Times New Roman" w:cs="Times New Roman"/>
          <w:sz w:val="24"/>
          <w:szCs w:val="24"/>
        </w:rPr>
        <w:t>The cash</w:t>
      </w:r>
      <w:r w:rsidR="00A27DFB">
        <w:rPr>
          <w:rFonts w:ascii="Times New Roman" w:hAnsi="Times New Roman" w:cs="Times New Roman"/>
          <w:sz w:val="24"/>
          <w:szCs w:val="24"/>
        </w:rPr>
        <w:t xml:space="preserve"> </w:t>
      </w:r>
      <w:r w:rsidR="00DD2CF4">
        <w:rPr>
          <w:rFonts w:ascii="Times New Roman" w:hAnsi="Times New Roman" w:cs="Times New Roman"/>
          <w:sz w:val="24"/>
          <w:szCs w:val="24"/>
        </w:rPr>
        <w:t>flows of the company declined to</w:t>
      </w:r>
      <w:r w:rsidR="00A27DFB">
        <w:rPr>
          <w:rFonts w:ascii="Times New Roman" w:hAnsi="Times New Roman" w:cs="Times New Roman"/>
          <w:sz w:val="24"/>
          <w:szCs w:val="24"/>
        </w:rPr>
        <w:t xml:space="preserve"> $6,006 million </w:t>
      </w:r>
      <w:r w:rsidR="00DD2CF4">
        <w:rPr>
          <w:rFonts w:ascii="Times New Roman" w:hAnsi="Times New Roman" w:cs="Times New Roman"/>
          <w:sz w:val="24"/>
          <w:szCs w:val="24"/>
        </w:rPr>
        <w:t>in 2017 as compared to</w:t>
      </w:r>
      <w:r w:rsidR="00A27DFB">
        <w:rPr>
          <w:rFonts w:ascii="Times New Roman" w:hAnsi="Times New Roman" w:cs="Times New Roman"/>
          <w:sz w:val="24"/>
          <w:szCs w:val="24"/>
        </w:rPr>
        <w:t xml:space="preserve"> $8,555 million in</w:t>
      </w:r>
      <w:r w:rsidR="00DD2CF4">
        <w:rPr>
          <w:rFonts w:ascii="Times New Roman" w:hAnsi="Times New Roman" w:cs="Times New Roman"/>
          <w:sz w:val="24"/>
          <w:szCs w:val="24"/>
        </w:rPr>
        <w:t xml:space="preserve"> 2016</w:t>
      </w:r>
      <w:r w:rsidR="00A27DFB">
        <w:rPr>
          <w:rFonts w:ascii="Times New Roman" w:hAnsi="Times New Roman" w:cs="Times New Roman"/>
          <w:sz w:val="24"/>
          <w:szCs w:val="24"/>
        </w:rPr>
        <w:t xml:space="preserve">. </w:t>
      </w:r>
      <w:r w:rsidR="00344F31" w:rsidRPr="00344F31">
        <w:rPr>
          <w:rFonts w:ascii="Times New Roman" w:hAnsi="Times New Roman" w:cs="Times New Roman"/>
          <w:sz w:val="24"/>
          <w:szCs w:val="24"/>
        </w:rPr>
        <w:t>The Company invested in trading and marketable securities in 2017 worth $407 million dollars</w:t>
      </w:r>
      <w:r w:rsidR="00344F31">
        <w:rPr>
          <w:rFonts w:ascii="Times New Roman" w:hAnsi="Times New Roman" w:cs="Times New Roman"/>
          <w:sz w:val="24"/>
          <w:szCs w:val="24"/>
        </w:rPr>
        <w:t>. Coca-Cola Company enjoys tax incentive grants in different tax jurisdictions for the capital investments it has made and the employment opportunities it creates</w:t>
      </w:r>
      <w:r w:rsidR="00A64C7B">
        <w:rPr>
          <w:rFonts w:ascii="Times New Roman" w:hAnsi="Times New Roman" w:cs="Times New Roman"/>
          <w:sz w:val="24"/>
          <w:szCs w:val="24"/>
        </w:rPr>
        <w:t>. The Coca-Cola Company is a giant in the beverage industry.</w:t>
      </w:r>
    </w:p>
    <w:p w:rsidR="0008138C" w:rsidRPr="006A7655" w:rsidRDefault="006A7655" w:rsidP="006A7655">
      <w:pPr>
        <w:spacing w:line="240" w:lineRule="auto"/>
        <w:jc w:val="center"/>
        <w:rPr>
          <w:rFonts w:ascii="Times New Roman" w:hAnsi="Times New Roman" w:cs="Times New Roman"/>
          <w:b/>
          <w:sz w:val="24"/>
          <w:szCs w:val="24"/>
        </w:rPr>
      </w:pPr>
      <w:r w:rsidRPr="006A7655">
        <w:rPr>
          <w:rFonts w:ascii="Times New Roman" w:hAnsi="Times New Roman" w:cs="Times New Roman"/>
          <w:b/>
          <w:sz w:val="24"/>
          <w:szCs w:val="24"/>
        </w:rPr>
        <w:lastRenderedPageBreak/>
        <w:t>References</w:t>
      </w:r>
    </w:p>
    <w:p w:rsidR="00F22F04" w:rsidRDefault="00F22F04" w:rsidP="000656C8">
      <w:pPr>
        <w:spacing w:line="240" w:lineRule="auto"/>
        <w:ind w:left="720" w:hanging="720"/>
        <w:rPr>
          <w:rFonts w:ascii="Times New Roman" w:hAnsi="Times New Roman" w:cs="Times New Roman"/>
          <w:sz w:val="24"/>
          <w:szCs w:val="24"/>
        </w:rPr>
      </w:pPr>
      <w:r w:rsidRPr="00F22F04">
        <w:rPr>
          <w:rFonts w:ascii="Times New Roman" w:hAnsi="Times New Roman" w:cs="Times New Roman"/>
          <w:sz w:val="24"/>
          <w:szCs w:val="24"/>
        </w:rPr>
        <w:t xml:space="preserve">Accounting tools. (2018). Cash flow. Retrieved from </w:t>
      </w:r>
      <w:hyperlink r:id="rId5" w:history="1">
        <w:r w:rsidRPr="000E758E">
          <w:rPr>
            <w:rStyle w:val="Hyperlink"/>
            <w:rFonts w:ascii="Times New Roman" w:hAnsi="Times New Roman" w:cs="Times New Roman"/>
            <w:sz w:val="24"/>
            <w:szCs w:val="24"/>
          </w:rPr>
          <w:t>https://www.accountingtools.com/articles/what-is-cash-flow.html</w:t>
        </w:r>
      </w:hyperlink>
    </w:p>
    <w:p w:rsidR="000656C8" w:rsidRDefault="006A7655" w:rsidP="000656C8">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Bragg. S. (2018</w:t>
      </w:r>
      <w:r w:rsidRPr="006A7655">
        <w:rPr>
          <w:rFonts w:ascii="Times New Roman" w:hAnsi="Times New Roman" w:cs="Times New Roman"/>
          <w:sz w:val="24"/>
          <w:szCs w:val="24"/>
        </w:rPr>
        <w:t xml:space="preserve">). The difference between gross margin and net margin. Retrieved from </w:t>
      </w:r>
      <w:hyperlink r:id="rId6" w:history="1">
        <w:r w:rsidR="000656C8" w:rsidRPr="000E758E">
          <w:rPr>
            <w:rStyle w:val="Hyperlink"/>
            <w:rFonts w:ascii="Times New Roman" w:hAnsi="Times New Roman" w:cs="Times New Roman"/>
            <w:sz w:val="24"/>
            <w:szCs w:val="24"/>
          </w:rPr>
          <w:t>https://www.accountingtools.com/articles/what-is-the-difference-between-gross-margin-and-net-margin.html</w:t>
        </w:r>
      </w:hyperlink>
    </w:p>
    <w:p w:rsidR="00F22F04" w:rsidRDefault="00F22F04" w:rsidP="000656C8">
      <w:pPr>
        <w:spacing w:line="240" w:lineRule="auto"/>
        <w:ind w:left="720" w:hanging="720"/>
        <w:rPr>
          <w:rFonts w:ascii="Times New Roman" w:hAnsi="Times New Roman" w:cs="Times New Roman"/>
          <w:sz w:val="24"/>
          <w:szCs w:val="24"/>
        </w:rPr>
      </w:pPr>
      <w:r w:rsidRPr="00F22F04">
        <w:rPr>
          <w:rFonts w:ascii="Times New Roman" w:hAnsi="Times New Roman" w:cs="Times New Roman"/>
          <w:sz w:val="24"/>
          <w:szCs w:val="24"/>
        </w:rPr>
        <w:t xml:space="preserve">Reference for Business. (n.d.). The Coca-Cola Company. Retrieved from </w:t>
      </w:r>
      <w:hyperlink r:id="rId7" w:history="1">
        <w:r w:rsidRPr="000E758E">
          <w:rPr>
            <w:rStyle w:val="Hyperlink"/>
            <w:rFonts w:ascii="Times New Roman" w:hAnsi="Times New Roman" w:cs="Times New Roman"/>
            <w:sz w:val="24"/>
            <w:szCs w:val="24"/>
          </w:rPr>
          <w:t>http://www.referenceforbusiness.com/history2/32/The-Coca-Cola-Company.html</w:t>
        </w:r>
      </w:hyperlink>
    </w:p>
    <w:p w:rsidR="00F22F04" w:rsidRDefault="00F22F04" w:rsidP="000656C8">
      <w:pPr>
        <w:spacing w:line="240" w:lineRule="auto"/>
        <w:ind w:left="720" w:hanging="720"/>
        <w:rPr>
          <w:rFonts w:ascii="Times New Roman" w:hAnsi="Times New Roman" w:cs="Times New Roman"/>
          <w:sz w:val="24"/>
          <w:szCs w:val="24"/>
        </w:rPr>
      </w:pPr>
    </w:p>
    <w:p w:rsidR="000656C8" w:rsidRPr="002429AA" w:rsidRDefault="000656C8" w:rsidP="001636AA">
      <w:pPr>
        <w:spacing w:line="240" w:lineRule="auto"/>
        <w:rPr>
          <w:rFonts w:ascii="Times New Roman" w:hAnsi="Times New Roman" w:cs="Times New Roman"/>
          <w:sz w:val="24"/>
          <w:szCs w:val="24"/>
        </w:rPr>
      </w:pPr>
    </w:p>
    <w:p w:rsidR="00171A25" w:rsidRPr="002429AA" w:rsidRDefault="00171A25" w:rsidP="001636AA">
      <w:pPr>
        <w:spacing w:line="240" w:lineRule="auto"/>
        <w:rPr>
          <w:rFonts w:ascii="Times New Roman" w:hAnsi="Times New Roman" w:cs="Times New Roman"/>
          <w:sz w:val="24"/>
          <w:szCs w:val="24"/>
        </w:rPr>
      </w:pPr>
    </w:p>
    <w:p w:rsidR="00171A25" w:rsidRPr="002429AA" w:rsidRDefault="00171A25" w:rsidP="001636AA">
      <w:pPr>
        <w:spacing w:line="240" w:lineRule="auto"/>
        <w:rPr>
          <w:rFonts w:ascii="Times New Roman" w:hAnsi="Times New Roman" w:cs="Times New Roman"/>
          <w:sz w:val="24"/>
          <w:szCs w:val="24"/>
        </w:rPr>
      </w:pPr>
    </w:p>
    <w:sectPr w:rsidR="00171A25" w:rsidRPr="00242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C51"/>
    <w:rsid w:val="000656C8"/>
    <w:rsid w:val="0008138C"/>
    <w:rsid w:val="000821DF"/>
    <w:rsid w:val="000C69BE"/>
    <w:rsid w:val="00140AAF"/>
    <w:rsid w:val="001636AA"/>
    <w:rsid w:val="00171A25"/>
    <w:rsid w:val="0021102F"/>
    <w:rsid w:val="002429AA"/>
    <w:rsid w:val="00344F31"/>
    <w:rsid w:val="00345A6D"/>
    <w:rsid w:val="00614C51"/>
    <w:rsid w:val="006A7655"/>
    <w:rsid w:val="00734ED1"/>
    <w:rsid w:val="007A3BAC"/>
    <w:rsid w:val="00810A00"/>
    <w:rsid w:val="00853DCB"/>
    <w:rsid w:val="009625E0"/>
    <w:rsid w:val="00973426"/>
    <w:rsid w:val="009821DB"/>
    <w:rsid w:val="00A2298F"/>
    <w:rsid w:val="00A27DFB"/>
    <w:rsid w:val="00A64C7B"/>
    <w:rsid w:val="00B27EB2"/>
    <w:rsid w:val="00B362E9"/>
    <w:rsid w:val="00BB250C"/>
    <w:rsid w:val="00C44322"/>
    <w:rsid w:val="00C81824"/>
    <w:rsid w:val="00DD2CF4"/>
    <w:rsid w:val="00F22F04"/>
    <w:rsid w:val="00F32211"/>
    <w:rsid w:val="00F44DCB"/>
    <w:rsid w:val="00F60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56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56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ferenceforbusiness.com/history2/32/The-Coca-Cola-Company.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accountingtools.com/articles/what-is-the-difference-between-gross-margin-and-net-margin.html" TargetMode="External"/><Relationship Id="rId5" Type="http://schemas.openxmlformats.org/officeDocument/2006/relationships/hyperlink" Target="https://www.accountingtools.com/articles/what-is-cash-flow.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572</TotalTime>
  <Pages>3</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2018-08-25T10:37:00Z</dcterms:created>
  <dcterms:modified xsi:type="dcterms:W3CDTF">2018-08-25T22:24:00Z</dcterms:modified>
</cp:coreProperties>
</file>